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E67489" w:rsidRPr="00E67489" w:rsidTr="00E67489">
        <w:trPr>
          <w:tblCellSpacing w:w="0" w:type="dxa"/>
        </w:trPr>
        <w:tc>
          <w:tcPr>
            <w:tcW w:w="0" w:type="auto"/>
            <w:vAlign w:val="center"/>
            <w:hideMark/>
          </w:tcPr>
          <w:p w:rsidR="00E67489" w:rsidRPr="00E67489" w:rsidRDefault="00E67489" w:rsidP="00E67489">
            <w:pPr>
              <w:widowControl/>
              <w:jc w:val="center"/>
              <w:rPr>
                <w:rFonts w:ascii="宋体" w:eastAsia="宋体" w:hAnsi="宋体" w:cs="宋体"/>
                <w:color w:val="2E3336"/>
                <w:kern w:val="0"/>
                <w:sz w:val="18"/>
                <w:szCs w:val="18"/>
              </w:rPr>
            </w:pPr>
          </w:p>
        </w:tc>
      </w:tr>
    </w:tbl>
    <w:p w:rsidR="00E67489" w:rsidRPr="00E67489" w:rsidRDefault="00E67489" w:rsidP="00E67489">
      <w:pPr>
        <w:widowControl/>
        <w:shd w:val="clear" w:color="auto" w:fill="FFFFFF"/>
        <w:jc w:val="left"/>
        <w:rPr>
          <w:rFonts w:ascii="宋体" w:eastAsia="宋体" w:hAnsi="宋体" w:cs="宋体"/>
          <w:vanish/>
          <w:color w:val="2E3336"/>
          <w:kern w:val="0"/>
          <w:sz w:val="18"/>
          <w:szCs w:val="18"/>
        </w:rPr>
      </w:pPr>
    </w:p>
    <w:tbl>
      <w:tblPr>
        <w:tblW w:w="5000" w:type="pct"/>
        <w:tblCellSpacing w:w="0" w:type="dxa"/>
        <w:tblCellMar>
          <w:left w:w="0" w:type="dxa"/>
          <w:right w:w="0" w:type="dxa"/>
        </w:tblCellMar>
        <w:tblLook w:val="04A0"/>
      </w:tblPr>
      <w:tblGrid>
        <w:gridCol w:w="8306"/>
      </w:tblGrid>
      <w:tr w:rsidR="00E67489" w:rsidRPr="00E67489" w:rsidTr="00E67489">
        <w:trPr>
          <w:tblCellSpacing w:w="0" w:type="dxa"/>
        </w:trPr>
        <w:tc>
          <w:tcPr>
            <w:tcW w:w="0" w:type="auto"/>
            <w:hideMark/>
          </w:tcPr>
          <w:p w:rsidR="00E67489" w:rsidRPr="00E67489" w:rsidRDefault="00E67489" w:rsidP="00E67489">
            <w:pPr>
              <w:widowControl/>
              <w:jc w:val="center"/>
              <w:rPr>
                <w:rFonts w:ascii="宋体" w:eastAsia="宋体" w:hAnsi="宋体" w:cs="宋体" w:hint="eastAsia"/>
                <w:color w:val="2E3336"/>
                <w:kern w:val="0"/>
                <w:sz w:val="18"/>
                <w:szCs w:val="18"/>
              </w:rPr>
            </w:pPr>
          </w:p>
          <w:tbl>
            <w:tblPr>
              <w:tblW w:w="4250" w:type="pct"/>
              <w:jc w:val="center"/>
              <w:tblCellSpacing w:w="0" w:type="dxa"/>
              <w:tblCellMar>
                <w:left w:w="0" w:type="dxa"/>
                <w:right w:w="0" w:type="dxa"/>
              </w:tblCellMar>
              <w:tblLook w:val="04A0"/>
            </w:tblPr>
            <w:tblGrid>
              <w:gridCol w:w="8306"/>
            </w:tblGrid>
            <w:tr w:rsidR="00E67489" w:rsidRPr="00E67489">
              <w:trPr>
                <w:trHeight w:val="5250"/>
                <w:tblCellSpacing w:w="0" w:type="dxa"/>
                <w:jc w:val="center"/>
              </w:trPr>
              <w:tc>
                <w:tcPr>
                  <w:tcW w:w="0" w:type="auto"/>
                  <w:hideMark/>
                </w:tcPr>
                <w:p w:rsidR="00E67489" w:rsidRPr="00E67489" w:rsidRDefault="00E67489" w:rsidP="00E67489">
                  <w:pPr>
                    <w:widowControl/>
                    <w:spacing w:before="100" w:beforeAutospacing="1" w:after="100" w:afterAutospacing="1" w:line="360" w:lineRule="atLeast"/>
                    <w:rPr>
                      <w:rFonts w:ascii="宋体" w:eastAsia="宋体" w:hAnsi="宋体" w:cs="宋体" w:hint="eastAsia"/>
                      <w:color w:val="2E3336"/>
                      <w:kern w:val="0"/>
                      <w:szCs w:val="21"/>
                    </w:rPr>
                  </w:pPr>
                </w:p>
                <w:p w:rsidR="00E67489" w:rsidRPr="00E67489" w:rsidRDefault="00E67489" w:rsidP="00E67489">
                  <w:pPr>
                    <w:widowControl/>
                    <w:spacing w:line="360" w:lineRule="atLeast"/>
                    <w:jc w:val="center"/>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江苏高校优势学科建设工程专项资金管理暂行办法</w:t>
                  </w:r>
                </w:p>
                <w:p w:rsidR="00E67489" w:rsidRPr="00E67489" w:rsidRDefault="00E67489" w:rsidP="00E67489">
                  <w:pPr>
                    <w:widowControl/>
                    <w:spacing w:line="360" w:lineRule="atLeast"/>
                    <w:jc w:val="center"/>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苏财</w:t>
                  </w:r>
                  <w:proofErr w:type="gramStart"/>
                  <w:r w:rsidRPr="00E67489">
                    <w:rPr>
                      <w:rFonts w:ascii="宋体" w:eastAsia="宋体" w:hAnsi="宋体" w:cs="宋体" w:hint="eastAsia"/>
                      <w:color w:val="2E3336"/>
                      <w:kern w:val="0"/>
                      <w:szCs w:val="21"/>
                    </w:rPr>
                    <w:t>规</w:t>
                  </w:r>
                  <w:proofErr w:type="gramEnd"/>
                  <w:r w:rsidRPr="00E67489">
                    <w:rPr>
                      <w:rFonts w:ascii="宋体" w:eastAsia="宋体" w:hAnsi="宋体" w:cs="宋体" w:hint="eastAsia"/>
                      <w:color w:val="2E3336"/>
                      <w:kern w:val="0"/>
                      <w:szCs w:val="21"/>
                    </w:rPr>
                    <w:t>〔2010〕37号</w:t>
                  </w:r>
                </w:p>
                <w:p w:rsidR="00E67489" w:rsidRPr="00E67489" w:rsidRDefault="00E67489" w:rsidP="00E67489">
                  <w:pPr>
                    <w:widowControl/>
                    <w:spacing w:line="360" w:lineRule="atLeast"/>
                    <w:jc w:val="center"/>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 </w:t>
                  </w:r>
                </w:p>
                <w:p w:rsidR="00E67489" w:rsidRPr="00E67489" w:rsidRDefault="00E67489" w:rsidP="00E67489">
                  <w:pPr>
                    <w:widowControl/>
                    <w:spacing w:line="360" w:lineRule="atLeast"/>
                    <w:jc w:val="center"/>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第一章 总 则</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 第一条 为加强和规范江苏高校优势学科建设工程专项资金（以下简称专项资金）管理，提高资金使用效益，根据《江苏省省级财政专项资金管理办法》（省政府第63号令）和《省政府办公厅关于印发江苏高校优势学科建设工程实施方案的通知》（苏政发[2010]118号）等有关规定，制定本办法。</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第二条 在工程实施期（2010-2015年）内，专项资金每年由省财政安排，由省财政厅、教育厅共同管理。</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第三条 专项资金的使用和管理坚持“分期规划、按年实施，多元投入、集成联动，绩效考评、全程监管”的原则。 </w:t>
                  </w:r>
                </w:p>
                <w:p w:rsidR="00E67489" w:rsidRPr="00E67489" w:rsidRDefault="00E67489" w:rsidP="00E67489">
                  <w:pPr>
                    <w:widowControl/>
                    <w:spacing w:line="360" w:lineRule="atLeast"/>
                    <w:jc w:val="center"/>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第二章 工作机构及职能 </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第四条 江苏高校优势学科建设工程管理协调小组（以下简称管理协调小组）负责审议专项资金安排方案，协调解决专项资金分配、使用和管理中的重大问题。省管理协调小组办公室设在省教育厅，承担日常工作。</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第五条 省教育厅是专项资金的日常管理部门，主要职责是：</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（一）与省财政厅共同拟定专项资金管理办法及相关实施细则，研究提出项目评审论证标准；</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（二）统一受理高校申报的项目申报书；</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（三）牵头组织项目评审、论证工作；</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（四）会同省财政厅编制年度工作计划，提出专项资金支持项目及经费安排建议；</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（五）与省财政厅共同批复并下达专项资金预算；</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（六）负责专项资金项目实施过程的跟踪管理，包括批复下达项目任务书，实施项目中期检查、绩效评价和项目验收等具体工作；</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（七）办理管理协调小组交办的其他事项。</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 xml:space="preserve">第六条 </w:t>
                  </w:r>
                  <w:r w:rsidRPr="00E67489">
                    <w:rPr>
                      <w:rFonts w:ascii="宋体" w:eastAsia="宋体" w:hAnsi="宋体" w:cs="宋体" w:hint="eastAsia"/>
                      <w:b/>
                      <w:bCs/>
                      <w:color w:val="2E3336"/>
                      <w:kern w:val="0"/>
                    </w:rPr>
                    <w:t> </w:t>
                  </w:r>
                  <w:r w:rsidRPr="00E67489">
                    <w:rPr>
                      <w:rFonts w:ascii="宋体" w:eastAsia="宋体" w:hAnsi="宋体" w:cs="宋体" w:hint="eastAsia"/>
                      <w:color w:val="2E3336"/>
                      <w:kern w:val="0"/>
                      <w:szCs w:val="21"/>
                    </w:rPr>
                    <w:t>省财政厅是专项资金的监管部门，主要职责是：</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（一）与省教育厅共同拟定专项资金管理办法及相关实施细则，研究提出项目评审论证标准；</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（二）根据专项资金实施方案及年度工作计划安排专项资金；</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（三）与省教育厅共同批复下达项目任务书及专项资金预算；</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（四）根据项目实施情况核拨专项资金；</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（五）与省教育厅共同组织项目绩效评价；</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（六）负责资金使用情况的监督检查，对资金使用实行全过程监管。</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第七条 项目高校是专项资金的组织实施者，设立项目实施领导小组，由高校法定代表人任组长，负责高校内部的制度建设、组织协调、项目申报和监督执行等工作。</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第八条 项目高校内部项目承担单位是专项资金的具体实施者。项目负责人是第一责任人，对项目预算的编制和项目资金的使用管理负责。项目经费的支出由项目负责人审批，并接受</w:t>
                  </w:r>
                  <w:r w:rsidRPr="00E67489">
                    <w:rPr>
                      <w:rFonts w:ascii="宋体" w:eastAsia="宋体" w:hAnsi="宋体" w:cs="宋体" w:hint="eastAsia"/>
                      <w:color w:val="2E3336"/>
                      <w:kern w:val="0"/>
                      <w:szCs w:val="21"/>
                    </w:rPr>
                    <w:lastRenderedPageBreak/>
                    <w:t>项目高校职能部门监管。 </w:t>
                  </w:r>
                </w:p>
                <w:p w:rsidR="00E67489" w:rsidRPr="00E67489" w:rsidRDefault="00E67489" w:rsidP="00E67489">
                  <w:pPr>
                    <w:widowControl/>
                    <w:spacing w:line="360" w:lineRule="atLeast"/>
                    <w:jc w:val="center"/>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第三章 专项资金支持方向和范围 </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第九条 专项资金用于支持江苏高校优势学科的优质资源建设、创新团队建设、人才培养及科研创新等方面。其中：优质资源建设</w:t>
                  </w:r>
                  <w:proofErr w:type="gramStart"/>
                  <w:r w:rsidRPr="00E67489">
                    <w:rPr>
                      <w:rFonts w:ascii="宋体" w:eastAsia="宋体" w:hAnsi="宋体" w:cs="宋体" w:hint="eastAsia"/>
                      <w:color w:val="2E3336"/>
                      <w:kern w:val="0"/>
                      <w:szCs w:val="21"/>
                    </w:rPr>
                    <w:t>指优势</w:t>
                  </w:r>
                  <w:proofErr w:type="gramEnd"/>
                  <w:r w:rsidRPr="00E67489">
                    <w:rPr>
                      <w:rFonts w:ascii="宋体" w:eastAsia="宋体" w:hAnsi="宋体" w:cs="宋体" w:hint="eastAsia"/>
                      <w:color w:val="2E3336"/>
                      <w:kern w:val="0"/>
                      <w:szCs w:val="21"/>
                    </w:rPr>
                    <w:t>学科的教学、科研、社会服务条件建设与制度环境建设；创新团队建设指高水平学科领军人才、方向带头人队伍建设与团队建设；人才培养指通过深化教育教学改革，创新人才培养模式，提高人才培养尤其是研究生培养质量；科研</w:t>
                  </w:r>
                  <w:proofErr w:type="gramStart"/>
                  <w:r w:rsidRPr="00E67489">
                    <w:rPr>
                      <w:rFonts w:ascii="宋体" w:eastAsia="宋体" w:hAnsi="宋体" w:cs="宋体" w:hint="eastAsia"/>
                      <w:color w:val="2E3336"/>
                      <w:kern w:val="0"/>
                      <w:szCs w:val="21"/>
                    </w:rPr>
                    <w:t>创新指学术</w:t>
                  </w:r>
                  <w:proofErr w:type="gramEnd"/>
                  <w:r w:rsidRPr="00E67489">
                    <w:rPr>
                      <w:rFonts w:ascii="宋体" w:eastAsia="宋体" w:hAnsi="宋体" w:cs="宋体" w:hint="eastAsia"/>
                      <w:color w:val="2E3336"/>
                      <w:kern w:val="0"/>
                      <w:szCs w:val="21"/>
                    </w:rPr>
                    <w:t>研究、应用研究及成果转化等方面。</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第十条 专项资金支持范围：</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（一）部省属高校国家一级重点学科及全国一级学科评估中位于前列的学科；</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（二）与我省新能源、新材料、生物技术及新医药、环境保护、软件和服务外包、物联网以及沿海开发、现代农业、文化产业等密切相关，学科实力、水平和影响与支持范围（一）相当的新兴学科与交叉学科。</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第十一条 具备下列条件之一的学科，优先立项：</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（一）符合申报条件且同时为我省国家一级重点学科及培育建设点的学科，或在全国具有明显优势、在国际相关领域具有较强特色的学科，或</w:t>
                  </w:r>
                  <w:proofErr w:type="gramStart"/>
                  <w:r w:rsidRPr="00E67489">
                    <w:rPr>
                      <w:rFonts w:ascii="宋体" w:eastAsia="宋体" w:hAnsi="宋体" w:cs="宋体" w:hint="eastAsia"/>
                      <w:color w:val="2E3336"/>
                      <w:kern w:val="0"/>
                      <w:szCs w:val="21"/>
                    </w:rPr>
                    <w:t>具有部</w:t>
                  </w:r>
                  <w:proofErr w:type="gramEnd"/>
                  <w:r w:rsidRPr="00E67489">
                    <w:rPr>
                      <w:rFonts w:ascii="宋体" w:eastAsia="宋体" w:hAnsi="宋体" w:cs="宋体" w:hint="eastAsia"/>
                      <w:color w:val="2E3336"/>
                      <w:kern w:val="0"/>
                      <w:szCs w:val="21"/>
                    </w:rPr>
                    <w:t>省以上人才培养、科研基地的学科；</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（二）与我省战略性新兴产业领域密切相关的学科；</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（三）与相关行业、地方、企事业单位开展紧密型契约合作共建、获得实质性支持的学科；</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（四）建设目标明确、思路清晰、措施得力、机制创新、特色鲜明、具有较好成长性的学科。 </w:t>
                  </w:r>
                </w:p>
                <w:p w:rsidR="00E67489" w:rsidRPr="00E67489" w:rsidRDefault="00E67489" w:rsidP="00E67489">
                  <w:pPr>
                    <w:widowControl/>
                    <w:spacing w:line="360" w:lineRule="atLeast"/>
                    <w:jc w:val="center"/>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第四章 项目申报评审 </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第十二条 专项资金实行竞争申报、专家评审、社会公示、政府批准的项目申报评审制度。</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第十三条 专项资金分两期实施，第一期为2010年至2013年，第二期为2013年至2015年。按照“分期立项、分类资助、强力推进、持续支持”的原则推进工程建设。高校根据</w:t>
                  </w:r>
                  <w:proofErr w:type="gramStart"/>
                  <w:r w:rsidRPr="00E67489">
                    <w:rPr>
                      <w:rFonts w:ascii="宋体" w:eastAsia="宋体" w:hAnsi="宋体" w:cs="宋体" w:hint="eastAsia"/>
                      <w:color w:val="2E3336"/>
                      <w:kern w:val="0"/>
                      <w:szCs w:val="21"/>
                    </w:rPr>
                    <w:t>分期项目</w:t>
                  </w:r>
                  <w:proofErr w:type="gramEnd"/>
                  <w:r w:rsidRPr="00E67489">
                    <w:rPr>
                      <w:rFonts w:ascii="宋体" w:eastAsia="宋体" w:hAnsi="宋体" w:cs="宋体" w:hint="eastAsia"/>
                      <w:color w:val="2E3336"/>
                      <w:kern w:val="0"/>
                      <w:szCs w:val="21"/>
                    </w:rPr>
                    <w:t>实施办法，按要求编制项目申报书，统一向省管理协调小组办公室申报。</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第十四条  省管理协调小组办公室根据优势学科建设工程实施方案及其</w:t>
                  </w:r>
                  <w:proofErr w:type="gramStart"/>
                  <w:r w:rsidRPr="00E67489">
                    <w:rPr>
                      <w:rFonts w:ascii="宋体" w:eastAsia="宋体" w:hAnsi="宋体" w:cs="宋体" w:hint="eastAsia"/>
                      <w:color w:val="2E3336"/>
                      <w:kern w:val="0"/>
                      <w:szCs w:val="21"/>
                    </w:rPr>
                    <w:t>分期项目</w:t>
                  </w:r>
                  <w:proofErr w:type="gramEnd"/>
                  <w:r w:rsidRPr="00E67489">
                    <w:rPr>
                      <w:rFonts w:ascii="宋体" w:eastAsia="宋体" w:hAnsi="宋体" w:cs="宋体" w:hint="eastAsia"/>
                      <w:color w:val="2E3336"/>
                      <w:kern w:val="0"/>
                      <w:szCs w:val="21"/>
                    </w:rPr>
                    <w:t>实施办法的规定，组织高层专家进行评审、论证。高层专家对项目的建设基础、建设目标与预期标志性成果、建设措施等进行评审、论证，并提出明确的意见。</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 xml:space="preserve">第十五条 </w:t>
                  </w:r>
                  <w:r w:rsidRPr="00E67489">
                    <w:rPr>
                      <w:rFonts w:ascii="宋体" w:eastAsia="宋体" w:hAnsi="宋体" w:cs="宋体" w:hint="eastAsia"/>
                      <w:b/>
                      <w:bCs/>
                      <w:color w:val="2E3336"/>
                      <w:kern w:val="0"/>
                    </w:rPr>
                    <w:t> </w:t>
                  </w:r>
                  <w:r w:rsidRPr="00E67489">
                    <w:rPr>
                      <w:rFonts w:ascii="宋体" w:eastAsia="宋体" w:hAnsi="宋体" w:cs="宋体" w:hint="eastAsia"/>
                      <w:color w:val="2E3336"/>
                      <w:kern w:val="0"/>
                      <w:szCs w:val="21"/>
                    </w:rPr>
                    <w:t>根据高层专家评审结果，省管理协调小组组织综合评审，在此基础上决定拟立项项目，并采取适当形式予以公示。经公示无异议的项目，由省教育厅、财政厅行文立项，批复下达项目任务书。</w:t>
                  </w:r>
                </w:p>
                <w:p w:rsidR="00E67489" w:rsidRPr="00E67489" w:rsidRDefault="00E67489" w:rsidP="00E67489">
                  <w:pPr>
                    <w:widowControl/>
                    <w:spacing w:line="360" w:lineRule="atLeast"/>
                    <w:jc w:val="center"/>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第五章 项目预算管理</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 第十六条 项目预算由收入预算和支出预算组成。</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第十七条 项目收入预算包括省财政专项资金、中央财政补助资金、学校自筹资金以及其他渠道资金。</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第十八条 鼓励和引导项目高校多渠道筹集资金，支持项目建设。</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（一）将优势学科建设与部省共建部属高校、落实共建项目紧密结合，参照中央财政和地方财政联动投入支持地方高校的机制，支持部属高校立项建设优势学科。</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“985”高校的立项优势学科建设经费，由省财政优势学科建设专项经费、“985”工程建设</w:t>
                  </w:r>
                  <w:proofErr w:type="gramStart"/>
                  <w:r w:rsidRPr="00E67489">
                    <w:rPr>
                      <w:rFonts w:ascii="宋体" w:eastAsia="宋体" w:hAnsi="宋体" w:cs="宋体" w:hint="eastAsia"/>
                      <w:color w:val="2E3336"/>
                      <w:kern w:val="0"/>
                      <w:szCs w:val="21"/>
                    </w:rPr>
                    <w:t>省配套</w:t>
                  </w:r>
                  <w:proofErr w:type="gramEnd"/>
                  <w:r w:rsidRPr="00E67489">
                    <w:rPr>
                      <w:rFonts w:ascii="宋体" w:eastAsia="宋体" w:hAnsi="宋体" w:cs="宋体" w:hint="eastAsia"/>
                      <w:color w:val="2E3336"/>
                      <w:kern w:val="0"/>
                      <w:szCs w:val="21"/>
                    </w:rPr>
                    <w:t>经费和主管部门“985”工程建设经费各按1/3的比例予以支持。</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lastRenderedPageBreak/>
                    <w:t>部省共建部属高校的立项优势学科即作为共建项目，建设经费由省财政优势学科建设专项经费和主管部门共建经费分别按2/3和1/3的比例予以支持。</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未实行部省共建部属高校的立项优势学科建设经费，由省财政优势学科建设专项经费支持1/3，其余由学校自筹配套并积极争取主管部门的相应经费支持。</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（二）省属高校立项优势学科建设经费主要由省财政优势学科建设专项经费安排，并由学校自筹和争取其他方面的资金支持。</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（三）立项项目要积极争取相关行业、地方、企事业单位共建经费或其他方式的支持经费。</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第十九条 项目支出预算包括优势学科建设的优质资源建设、创新团队建设、人才培养及科研创新等所必需的各项支出。</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（一）设备费：是指在项目实施过程中购置或试制专用仪器设备，对现有仪器设备进行升级改造，以及租赁使用外单位仪器设备而发生的费用；</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（二）维修、维护及运行费：是指在项目实施过程中专用仪器设备维修、维护发生的费用，以及项目实施过程中相关大型仪器设备、专用科学装置等运行发生的可以单独计量的水、电、气、燃料消耗费用等；</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（三）材料费：是指在项目实施过程中由于消耗各种必需的原材料、辅助材料等低值易耗品而发生的采购、运输、装卸和整理等费用；</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（四）测试化验加工费：是指在项目实施过程中由于承担单位自身的技术、工艺和设备等条件的限制，必须支付给外单位（包括项目高校内部独立经济核算单位）的检验、测试、设计、化验及加工等费用；</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（五）差旅费：是指在项目实施过程中开展科学实验（试验）、科学考察、业务调研、学术交流等所发生的外埠差旅费、市内交通费用等。差旅费的开支标准应当按照国家和学校有关规定执行；</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（六）会议费：是指在项目实施过程中为组织开展相关的学术研讨、咨询以及协调任务等活动而发生的会议费用。应当参照国家有关规定，严格控制会议数量、规模、开支标准和会期；</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（七）国际合作与交流费：是指在项目实施过程中相关人员出国及外国专家来华工作而发生的费用。国际合作与交流费应当执行国家外事经费管理的有关规定；</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（八）出版、文献、信息传播及知识产权事务费：是指在项目实施过程中，需要支付的出版费、图书购置费、资料费、专用软件购买费、文献检索费、专业通信费、专利申请及其他知识产权事务等费用；</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九）劳务费：是指在项目实施过程中支付给项目组成人员中没有工资性收入的相关研发人员（包括客座人员、在校研究生等）和临时聘用人员等的劳务性费用。项目学校聘用的参与重大专项研究任务的优秀高校毕业生在聘用期内所需的劳务性费用和有关社会保险费补助，可以在劳务费中列支；</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（十）专家咨询费：是指在项目实施过程中支付给临时外聘专家的咨询费用。专家咨询费不得支付给参与项目实施或管理的相关工作人员。专家咨询费的开支标准见下表：</w:t>
                  </w:r>
                </w:p>
                <w:tbl>
                  <w:tblPr>
                    <w:tblW w:w="89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40"/>
                    <w:gridCol w:w="1665"/>
                    <w:gridCol w:w="2520"/>
                    <w:gridCol w:w="180"/>
                    <w:gridCol w:w="2520"/>
                  </w:tblGrid>
                  <w:tr w:rsidR="00E67489" w:rsidRPr="00E67489">
                    <w:trPr>
                      <w:tblCellSpacing w:w="0" w:type="dxa"/>
                      <w:jc w:val="center"/>
                    </w:trPr>
                    <w:tc>
                      <w:tcPr>
                        <w:tcW w:w="2040" w:type="dxa"/>
                        <w:tcBorders>
                          <w:top w:val="outset" w:sz="6" w:space="0" w:color="auto"/>
                          <w:left w:val="outset" w:sz="6" w:space="0" w:color="auto"/>
                          <w:bottom w:val="outset" w:sz="6" w:space="0" w:color="auto"/>
                          <w:right w:val="outset" w:sz="6" w:space="0" w:color="auto"/>
                        </w:tcBorders>
                        <w:hideMark/>
                      </w:tcPr>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 </w:t>
                        </w:r>
                      </w:p>
                      <w:p w:rsidR="00E67489" w:rsidRPr="00E67489" w:rsidRDefault="00E67489" w:rsidP="00E67489">
                        <w:pPr>
                          <w:widowControl/>
                          <w:spacing w:line="360" w:lineRule="atLeast"/>
                          <w:jc w:val="center"/>
                          <w:rPr>
                            <w:rFonts w:ascii="宋体" w:eastAsia="宋体" w:hAnsi="宋体" w:cs="宋体"/>
                            <w:color w:val="2E3336"/>
                            <w:kern w:val="0"/>
                            <w:szCs w:val="21"/>
                          </w:rPr>
                        </w:pPr>
                        <w:r w:rsidRPr="00E67489">
                          <w:rPr>
                            <w:rFonts w:ascii="宋体" w:eastAsia="宋体" w:hAnsi="宋体" w:cs="宋体" w:hint="eastAsia"/>
                            <w:b/>
                            <w:bCs/>
                            <w:color w:val="2E3336"/>
                            <w:kern w:val="0"/>
                          </w:rPr>
                          <w:t>咨询专家</w:t>
                        </w:r>
                      </w:p>
                    </w:tc>
                    <w:tc>
                      <w:tcPr>
                        <w:tcW w:w="1665" w:type="dxa"/>
                        <w:tcBorders>
                          <w:top w:val="outset" w:sz="6" w:space="0" w:color="auto"/>
                          <w:left w:val="outset" w:sz="6" w:space="0" w:color="auto"/>
                          <w:bottom w:val="outset" w:sz="6" w:space="0" w:color="auto"/>
                          <w:right w:val="outset" w:sz="6" w:space="0" w:color="auto"/>
                        </w:tcBorders>
                        <w:hideMark/>
                      </w:tcPr>
                      <w:p w:rsidR="00E67489" w:rsidRPr="00E67489" w:rsidRDefault="00E67489" w:rsidP="00E67489">
                        <w:pPr>
                          <w:widowControl/>
                          <w:spacing w:line="360" w:lineRule="atLeast"/>
                          <w:jc w:val="center"/>
                          <w:rPr>
                            <w:rFonts w:ascii="宋体" w:eastAsia="宋体" w:hAnsi="宋体" w:cs="宋体"/>
                            <w:color w:val="2E3336"/>
                            <w:kern w:val="0"/>
                            <w:szCs w:val="21"/>
                          </w:rPr>
                        </w:pPr>
                        <w:r w:rsidRPr="00E67489">
                          <w:rPr>
                            <w:rFonts w:ascii="宋体" w:eastAsia="宋体" w:hAnsi="宋体" w:cs="宋体" w:hint="eastAsia"/>
                            <w:b/>
                            <w:bCs/>
                            <w:color w:val="2E3336"/>
                            <w:kern w:val="0"/>
                          </w:rPr>
                          <w:t>咨询方式</w:t>
                        </w:r>
                      </w:p>
                    </w:tc>
                    <w:tc>
                      <w:tcPr>
                        <w:tcW w:w="5220" w:type="dxa"/>
                        <w:gridSpan w:val="3"/>
                        <w:tcBorders>
                          <w:top w:val="outset" w:sz="6" w:space="0" w:color="auto"/>
                          <w:left w:val="outset" w:sz="6" w:space="0" w:color="auto"/>
                          <w:bottom w:val="outset" w:sz="6" w:space="0" w:color="auto"/>
                          <w:right w:val="outset" w:sz="6" w:space="0" w:color="auto"/>
                        </w:tcBorders>
                        <w:hideMark/>
                      </w:tcPr>
                      <w:p w:rsidR="00E67489" w:rsidRPr="00E67489" w:rsidRDefault="00E67489" w:rsidP="00E67489">
                        <w:pPr>
                          <w:widowControl/>
                          <w:spacing w:line="360" w:lineRule="atLeast"/>
                          <w:jc w:val="center"/>
                          <w:rPr>
                            <w:rFonts w:ascii="宋体" w:eastAsia="宋体" w:hAnsi="宋体" w:cs="宋体"/>
                            <w:color w:val="2E3336"/>
                            <w:kern w:val="0"/>
                            <w:szCs w:val="21"/>
                          </w:rPr>
                        </w:pPr>
                        <w:r w:rsidRPr="00E67489">
                          <w:rPr>
                            <w:rFonts w:ascii="宋体" w:eastAsia="宋体" w:hAnsi="宋体" w:cs="宋体" w:hint="eastAsia"/>
                            <w:b/>
                            <w:bCs/>
                            <w:color w:val="2E3336"/>
                            <w:kern w:val="0"/>
                          </w:rPr>
                          <w:t>标 准</w:t>
                        </w:r>
                      </w:p>
                    </w:tc>
                  </w:tr>
                  <w:tr w:rsidR="00E67489" w:rsidRPr="00E67489">
                    <w:trPr>
                      <w:tblCellSpacing w:w="0" w:type="dxa"/>
                      <w:jc w:val="center"/>
                    </w:trPr>
                    <w:tc>
                      <w:tcPr>
                        <w:tcW w:w="2040" w:type="dxa"/>
                        <w:vMerge w:val="restart"/>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t>具有或相当于高级专</w:t>
                        </w:r>
                        <w:r w:rsidRPr="00E67489">
                          <w:rPr>
                            <w:rFonts w:ascii="宋体" w:eastAsia="宋体" w:hAnsi="宋体" w:cs="宋体" w:hint="eastAsia"/>
                            <w:color w:val="2E3336"/>
                            <w:kern w:val="0"/>
                            <w:szCs w:val="21"/>
                          </w:rPr>
                          <w:lastRenderedPageBreak/>
                          <w:t>业技术职称的人员</w:t>
                        </w:r>
                      </w:p>
                    </w:tc>
                    <w:tc>
                      <w:tcPr>
                        <w:tcW w:w="1665" w:type="dxa"/>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lastRenderedPageBreak/>
                          <w:t>会议咨询</w:t>
                        </w:r>
                      </w:p>
                    </w:tc>
                    <w:tc>
                      <w:tcPr>
                        <w:tcW w:w="2700" w:type="dxa"/>
                        <w:gridSpan w:val="2"/>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t>800-1000（元/人·天）（第</w:t>
                        </w:r>
                        <w:r w:rsidRPr="00E67489">
                          <w:rPr>
                            <w:rFonts w:ascii="宋体" w:eastAsia="宋体" w:hAnsi="宋体" w:cs="宋体" w:hint="eastAsia"/>
                            <w:color w:val="2E3336"/>
                            <w:kern w:val="0"/>
                            <w:szCs w:val="21"/>
                          </w:rPr>
                          <w:lastRenderedPageBreak/>
                          <w:t>1、2天）</w:t>
                        </w:r>
                      </w:p>
                    </w:tc>
                    <w:tc>
                      <w:tcPr>
                        <w:tcW w:w="2520" w:type="dxa"/>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lastRenderedPageBreak/>
                          <w:t>400-500（元/人·天）（第</w:t>
                        </w:r>
                        <w:r w:rsidRPr="00E67489">
                          <w:rPr>
                            <w:rFonts w:ascii="宋体" w:eastAsia="宋体" w:hAnsi="宋体" w:cs="宋体" w:hint="eastAsia"/>
                            <w:color w:val="2E3336"/>
                            <w:kern w:val="0"/>
                            <w:szCs w:val="21"/>
                          </w:rPr>
                          <w:lastRenderedPageBreak/>
                          <w:t>3天以后）</w:t>
                        </w:r>
                      </w:p>
                    </w:tc>
                  </w:tr>
                  <w:tr w:rsidR="00E67489" w:rsidRPr="00E6748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jc w:val="left"/>
                          <w:rPr>
                            <w:rFonts w:ascii="宋体" w:eastAsia="宋体" w:hAnsi="宋体" w:cs="宋体"/>
                            <w:color w:val="2E3336"/>
                            <w:kern w:val="0"/>
                            <w:szCs w:val="21"/>
                          </w:rPr>
                        </w:pPr>
                      </w:p>
                    </w:tc>
                    <w:tc>
                      <w:tcPr>
                        <w:tcW w:w="1665" w:type="dxa"/>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t>通讯咨询</w:t>
                        </w:r>
                      </w:p>
                    </w:tc>
                    <w:tc>
                      <w:tcPr>
                        <w:tcW w:w="5220" w:type="dxa"/>
                        <w:gridSpan w:val="3"/>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t>60-100（元/人·</w:t>
                        </w:r>
                        <w:proofErr w:type="gramStart"/>
                        <w:r w:rsidRPr="00E67489">
                          <w:rPr>
                            <w:rFonts w:ascii="宋体" w:eastAsia="宋体" w:hAnsi="宋体" w:cs="宋体" w:hint="eastAsia"/>
                            <w:color w:val="2E3336"/>
                            <w:kern w:val="0"/>
                            <w:szCs w:val="21"/>
                          </w:rPr>
                          <w:t>个</w:t>
                        </w:r>
                        <w:proofErr w:type="gramEnd"/>
                        <w:r w:rsidRPr="00E67489">
                          <w:rPr>
                            <w:rFonts w:ascii="宋体" w:eastAsia="宋体" w:hAnsi="宋体" w:cs="宋体" w:hint="eastAsia"/>
                            <w:color w:val="2E3336"/>
                            <w:kern w:val="0"/>
                            <w:szCs w:val="21"/>
                          </w:rPr>
                          <w:t>项目）</w:t>
                        </w:r>
                      </w:p>
                    </w:tc>
                  </w:tr>
                  <w:tr w:rsidR="00E67489" w:rsidRPr="00E67489">
                    <w:trPr>
                      <w:tblCellSpacing w:w="0" w:type="dxa"/>
                      <w:jc w:val="center"/>
                    </w:trPr>
                    <w:tc>
                      <w:tcPr>
                        <w:tcW w:w="2040" w:type="dxa"/>
                        <w:vMerge w:val="restart"/>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t>其他人员</w:t>
                        </w:r>
                      </w:p>
                    </w:tc>
                    <w:tc>
                      <w:tcPr>
                        <w:tcW w:w="1665" w:type="dxa"/>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t>会议咨询</w:t>
                        </w:r>
                      </w:p>
                    </w:tc>
                    <w:tc>
                      <w:tcPr>
                        <w:tcW w:w="2520" w:type="dxa"/>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t>300-500（元/人·天）（第1、2天）</w:t>
                        </w:r>
                      </w:p>
                    </w:tc>
                    <w:tc>
                      <w:tcPr>
                        <w:tcW w:w="2700" w:type="dxa"/>
                        <w:gridSpan w:val="2"/>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t>200-300（元/人·天）（第3天以后）</w:t>
                        </w:r>
                      </w:p>
                    </w:tc>
                  </w:tr>
                  <w:tr w:rsidR="00E67489" w:rsidRPr="00E6748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jc w:val="left"/>
                          <w:rPr>
                            <w:rFonts w:ascii="宋体" w:eastAsia="宋体" w:hAnsi="宋体" w:cs="宋体"/>
                            <w:color w:val="2E3336"/>
                            <w:kern w:val="0"/>
                            <w:szCs w:val="21"/>
                          </w:rPr>
                        </w:pPr>
                      </w:p>
                    </w:tc>
                    <w:tc>
                      <w:tcPr>
                        <w:tcW w:w="1665" w:type="dxa"/>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t>通讯咨询</w:t>
                        </w:r>
                      </w:p>
                    </w:tc>
                    <w:tc>
                      <w:tcPr>
                        <w:tcW w:w="5220" w:type="dxa"/>
                        <w:gridSpan w:val="3"/>
                        <w:tcBorders>
                          <w:top w:val="outset" w:sz="6" w:space="0" w:color="auto"/>
                          <w:left w:val="outset" w:sz="6" w:space="0" w:color="auto"/>
                          <w:bottom w:val="outset" w:sz="6" w:space="0" w:color="auto"/>
                          <w:right w:val="outset" w:sz="6" w:space="0" w:color="auto"/>
                        </w:tcBorders>
                        <w:vAlign w:val="center"/>
                        <w:hideMark/>
                      </w:tcPr>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t>40-80（元/人·</w:t>
                        </w:r>
                        <w:proofErr w:type="gramStart"/>
                        <w:r w:rsidRPr="00E67489">
                          <w:rPr>
                            <w:rFonts w:ascii="宋体" w:eastAsia="宋体" w:hAnsi="宋体" w:cs="宋体" w:hint="eastAsia"/>
                            <w:color w:val="2E3336"/>
                            <w:kern w:val="0"/>
                            <w:szCs w:val="21"/>
                          </w:rPr>
                          <w:t>个</w:t>
                        </w:r>
                        <w:proofErr w:type="gramEnd"/>
                        <w:r w:rsidRPr="00E67489">
                          <w:rPr>
                            <w:rFonts w:ascii="宋体" w:eastAsia="宋体" w:hAnsi="宋体" w:cs="宋体" w:hint="eastAsia"/>
                            <w:color w:val="2E3336"/>
                            <w:kern w:val="0"/>
                            <w:szCs w:val="21"/>
                          </w:rPr>
                          <w:t>项目）</w:t>
                        </w:r>
                      </w:p>
                    </w:tc>
                  </w:tr>
                </w:tbl>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（十一）人才培养引进费：是指在项目实施过程中发生的人才培养和引进方面的支出，包括引进国内外高层次人才一次性安家费等。</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第二十条 项目高校按照批复的项目任务书及项目预算，围绕项目绩效目标，编制项目分年预算（表式见附件1），于每年1月底前将当年项目预算报省教育厅、财政厅。省教育厅、财政厅对项目高校报送的分</w:t>
                  </w:r>
                  <w:proofErr w:type="gramStart"/>
                  <w:r w:rsidRPr="00E67489">
                    <w:rPr>
                      <w:rFonts w:ascii="宋体" w:eastAsia="宋体" w:hAnsi="宋体" w:cs="宋体" w:hint="eastAsia"/>
                      <w:color w:val="2E3336"/>
                      <w:kern w:val="0"/>
                      <w:szCs w:val="21"/>
                    </w:rPr>
                    <w:t>年项目</w:t>
                  </w:r>
                  <w:proofErr w:type="gramEnd"/>
                  <w:r w:rsidRPr="00E67489">
                    <w:rPr>
                      <w:rFonts w:ascii="宋体" w:eastAsia="宋体" w:hAnsi="宋体" w:cs="宋体" w:hint="eastAsia"/>
                      <w:color w:val="2E3336"/>
                      <w:kern w:val="0"/>
                      <w:szCs w:val="21"/>
                    </w:rPr>
                    <w:t>预算进行评审，于3月底前下达分</w:t>
                  </w:r>
                  <w:proofErr w:type="gramStart"/>
                  <w:r w:rsidRPr="00E67489">
                    <w:rPr>
                      <w:rFonts w:ascii="宋体" w:eastAsia="宋体" w:hAnsi="宋体" w:cs="宋体" w:hint="eastAsia"/>
                      <w:color w:val="2E3336"/>
                      <w:kern w:val="0"/>
                      <w:szCs w:val="21"/>
                    </w:rPr>
                    <w:t>年项目</w:t>
                  </w:r>
                  <w:proofErr w:type="gramEnd"/>
                  <w:r w:rsidRPr="00E67489">
                    <w:rPr>
                      <w:rFonts w:ascii="宋体" w:eastAsia="宋体" w:hAnsi="宋体" w:cs="宋体" w:hint="eastAsia"/>
                      <w:color w:val="2E3336"/>
                      <w:kern w:val="0"/>
                      <w:szCs w:val="21"/>
                    </w:rPr>
                    <w:t>预算。</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第二十一条 项目预算是项目高校综合预算的组成部分，须纳入项目高校年度财政预算，实现收支平衡。</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第二十二条 项目预算一经核定，必须严格</w:t>
                  </w:r>
                  <w:proofErr w:type="gramStart"/>
                  <w:r w:rsidRPr="00E67489">
                    <w:rPr>
                      <w:rFonts w:ascii="宋体" w:eastAsia="宋体" w:hAnsi="宋体" w:cs="宋体" w:hint="eastAsia"/>
                      <w:color w:val="2E3336"/>
                      <w:kern w:val="0"/>
                      <w:szCs w:val="21"/>
                    </w:rPr>
                    <w:t>依预算</w:t>
                  </w:r>
                  <w:proofErr w:type="gramEnd"/>
                  <w:r w:rsidRPr="00E67489">
                    <w:rPr>
                      <w:rFonts w:ascii="宋体" w:eastAsia="宋体" w:hAnsi="宋体" w:cs="宋体" w:hint="eastAsia"/>
                      <w:color w:val="2E3336"/>
                      <w:kern w:val="0"/>
                      <w:szCs w:val="21"/>
                    </w:rPr>
                    <w:t>执行，一般不作调整。确有必要调整的，各子项可以在不超过10%（含）的幅度内调整；超过10%的，应按审批程序重新报批。</w:t>
                  </w:r>
                </w:p>
                <w:p w:rsidR="00E67489" w:rsidRPr="00E67489" w:rsidRDefault="00E67489" w:rsidP="00E67489">
                  <w:pPr>
                    <w:widowControl/>
                    <w:spacing w:line="360" w:lineRule="atLeast"/>
                    <w:jc w:val="center"/>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第六章 支出管理</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 第二十三条 省财政厅根据审核后的分</w:t>
                  </w:r>
                  <w:proofErr w:type="gramStart"/>
                  <w:r w:rsidRPr="00E67489">
                    <w:rPr>
                      <w:rFonts w:ascii="宋体" w:eastAsia="宋体" w:hAnsi="宋体" w:cs="宋体" w:hint="eastAsia"/>
                      <w:color w:val="2E3336"/>
                      <w:kern w:val="0"/>
                      <w:szCs w:val="21"/>
                    </w:rPr>
                    <w:t>年项目</w:t>
                  </w:r>
                  <w:proofErr w:type="gramEnd"/>
                  <w:r w:rsidRPr="00E67489">
                    <w:rPr>
                      <w:rFonts w:ascii="宋体" w:eastAsia="宋体" w:hAnsi="宋体" w:cs="宋体" w:hint="eastAsia"/>
                      <w:color w:val="2E3336"/>
                      <w:kern w:val="0"/>
                      <w:szCs w:val="21"/>
                    </w:rPr>
                    <w:t>预算下达当年省财政专项资金指标。以后各年省财政专项资金指标根据当年项目预算情况，以及以前年度专项资金检查、绩效考核等情况下达。</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第二十四条 专项资金的支付按照省财政国库集中支付的有关规定执行。省教育厅、财政厅加强对专项资金支付的事前、事中和事后审核监管。</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一）项目高校须于每月15日前将下月专项资金支付申请明细表（表式见附件2）报送省教育厅，经省教育厅、财政厅审核后，于每月20日前将审核意见反馈项目高校。项目高校根据反馈的审核意见在预算执行系统中提交用款支付申请，由省财政厅审核下达、办理支付。</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二）项目高校须于每月10日前向省教育厅报送上月专项资金使用情况表（表式见附件3），省教育厅、财政厅根据专项资金使用情况汇总表及省财政国库集中支付统计表对项目高校专项资金支付管理情况进行必要抽查。</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（三）省财政厅、教育厅及项目高校财务部门有权拒绝以下项目资金支付：</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1.不符合国库集中支付规定的支出；</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2.审批手续不全的支出；</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3.与项目无关的支出；</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4.不符合项目支出预算的支出；</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5.原始凭证不合法或不真实的支出；</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6.擅自扩大支出范围或提高开支标准的支出。</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中央部委属高校专项资金支付参照省属高校执行。</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第二十五条 专项资金使用中涉及政府采购的，按照政府采购有关规定执行。大型仪器设备采购符合《江苏省省级新购大型科学仪器设备联合评议工作管理办法（试行）》（苏财教[2005]86号）规定的，按其规定执行。</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第二十六条 项目高校应按本办法和有关财政资金管理规定，制定</w:t>
                  </w:r>
                  <w:proofErr w:type="gramStart"/>
                  <w:r w:rsidRPr="00E67489">
                    <w:rPr>
                      <w:rFonts w:ascii="宋体" w:eastAsia="宋体" w:hAnsi="宋体" w:cs="宋体" w:hint="eastAsia"/>
                      <w:color w:val="2E3336"/>
                      <w:kern w:val="0"/>
                      <w:szCs w:val="21"/>
                    </w:rPr>
                    <w:t>具体资金</w:t>
                  </w:r>
                  <w:proofErr w:type="gramEnd"/>
                  <w:r w:rsidRPr="00E67489">
                    <w:rPr>
                      <w:rFonts w:ascii="宋体" w:eastAsia="宋体" w:hAnsi="宋体" w:cs="宋体" w:hint="eastAsia"/>
                      <w:color w:val="2E3336"/>
                      <w:kern w:val="0"/>
                      <w:szCs w:val="21"/>
                    </w:rPr>
                    <w:t>管理办法，建立</w:t>
                  </w:r>
                  <w:r w:rsidRPr="00E67489">
                    <w:rPr>
                      <w:rFonts w:ascii="宋体" w:eastAsia="宋体" w:hAnsi="宋体" w:cs="宋体" w:hint="eastAsia"/>
                      <w:color w:val="2E3336"/>
                      <w:kern w:val="0"/>
                      <w:szCs w:val="21"/>
                    </w:rPr>
                    <w:lastRenderedPageBreak/>
                    <w:t>健全内部控制制度，加强对专项资金的管理。项目承担单位应当强化预算约束，严格按照下达的专项资金预算及本办法规定的经费开支范围办理支出，并建立健全各种费用开支的原始资料登记和材料消耗、统计盘点制度，做好预算与财务管理的各项基础性工作。</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第二十七条 项目资金实行专账核算。项目高校要分项目对资金收支情况进行明细核算。项目高校须于每年7月15日和1月15日前分别将专项资金（包括其他渠道资金）中期决算表及年度决算表（表式见附件4）报省财政厅、教育厅备案。</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第二十八条 专项资金年度结存资金，结转下一年度按规定继续使用。项目结束或项目因故终止的结余资金，按原渠道收回。</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第二十九条 专项资金形成的固定资产和知识产权等无形资产的管理和使用，按国家有关规定执行。专项资金形成的仪器设备、科学数据、自然科技资源等，按照国家有关规定开放共享，提高利用效率。 </w:t>
                  </w:r>
                </w:p>
                <w:p w:rsidR="00E67489" w:rsidRPr="00E67489" w:rsidRDefault="00E67489" w:rsidP="00E67489">
                  <w:pPr>
                    <w:widowControl/>
                    <w:spacing w:line="360" w:lineRule="atLeast"/>
                    <w:jc w:val="center"/>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第七章 绩效考核和监督检查 </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第三十条 建立专项资金项目绩效目标管理机制，对专项资金开展全过程绩效管理。制订科学合理、切实可行、可测量的项目立项评审、绩效考评指标体系，加强项目过程管理，提高项目实施的科学性、导向性、实效性。省财政厅、教育厅组织专家或委托中介机构对专项资金进行绩效考评。</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第三十一条 检查和考评结果作为拨付专项资金、安排当期奖励经费和下一期专项资金的重要依据。对绩效显著、贡献突出的予以奖励；对意义重大、发展前景好、按规律需要长期支持的，予以持续重点支持；对建设措施不力、成效较差的，减小支持力度，或不再作为重点支持项目；对立项条件基础丧失的项目及时调整或终止。</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第三十二条 项目实施，坚持科学公正、规范管理、严格程序。省教育厅和财政厅对项目实施全程监管，省审计厅对项目经费进行重点审计。</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第三十三条 省教育厅、财政厅建立专项资金管理信息库，完善信息公开公示制度。将项目预算安排情况、专项资金使用情况、项目高校承诺的配套措施等内容纳入信息库进行管理，对非保密信息及时予以公开，接受社会监督。</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第三十四条 项目高校应严格遵守国家财经纪律，自觉接受财政、审计等相关部门的监督和检查。对违反财经纪律，弄虚作假、挪用或挤占专项资金的，依照《财政违法行为处罚处分条例》等相关规定予以处理处罚；构成犯罪的，移交司法机关处理。 </w:t>
                  </w:r>
                </w:p>
                <w:p w:rsidR="00E67489" w:rsidRPr="00E67489" w:rsidRDefault="00E67489" w:rsidP="00E67489">
                  <w:pPr>
                    <w:widowControl/>
                    <w:spacing w:line="360" w:lineRule="atLeast"/>
                    <w:jc w:val="center"/>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第八章 附 则 </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第三十五条 项目高校自筹资金以及地方政府、关联行业、企事业单位安排的其他渠道资金参照本办法进行管理。</w:t>
                  </w:r>
                </w:p>
                <w:p w:rsidR="00E67489" w:rsidRPr="00E67489" w:rsidRDefault="00E67489" w:rsidP="00E67489">
                  <w:pPr>
                    <w:widowControl/>
                    <w:spacing w:line="360" w:lineRule="atLeast"/>
                    <w:jc w:val="left"/>
                    <w:rPr>
                      <w:rFonts w:ascii="宋体" w:eastAsia="宋体" w:hAnsi="宋体" w:cs="宋体" w:hint="eastAsia"/>
                      <w:color w:val="2E3336"/>
                      <w:kern w:val="0"/>
                      <w:szCs w:val="21"/>
                    </w:rPr>
                  </w:pPr>
                  <w:r w:rsidRPr="00E67489">
                    <w:rPr>
                      <w:rFonts w:ascii="宋体" w:eastAsia="宋体" w:hAnsi="宋体" w:cs="宋体" w:hint="eastAsia"/>
                      <w:color w:val="2E3336"/>
                      <w:kern w:val="0"/>
                      <w:szCs w:val="21"/>
                    </w:rPr>
                    <w:t>第三十六条 本办法由省财政厅、教育厅负责解释。</w:t>
                  </w:r>
                </w:p>
                <w:p w:rsidR="00E67489" w:rsidRPr="00E67489" w:rsidRDefault="00E67489" w:rsidP="00E67489">
                  <w:pPr>
                    <w:widowControl/>
                    <w:spacing w:line="360" w:lineRule="atLeast"/>
                    <w:jc w:val="left"/>
                    <w:rPr>
                      <w:rFonts w:ascii="宋体" w:eastAsia="宋体" w:hAnsi="宋体" w:cs="宋体"/>
                      <w:color w:val="2E3336"/>
                      <w:kern w:val="0"/>
                      <w:szCs w:val="21"/>
                    </w:rPr>
                  </w:pPr>
                  <w:r w:rsidRPr="00E67489">
                    <w:rPr>
                      <w:rFonts w:ascii="宋体" w:eastAsia="宋体" w:hAnsi="宋体" w:cs="宋体" w:hint="eastAsia"/>
                      <w:color w:val="2E3336"/>
                      <w:kern w:val="0"/>
                      <w:szCs w:val="21"/>
                    </w:rPr>
                    <w:t>第三十七条 本办法自2010年12月20日起施行。 </w:t>
                  </w:r>
                </w:p>
              </w:tc>
            </w:tr>
          </w:tbl>
          <w:p w:rsidR="00E67489" w:rsidRPr="00E67489" w:rsidRDefault="00E67489" w:rsidP="00E67489">
            <w:pPr>
              <w:widowControl/>
              <w:jc w:val="center"/>
              <w:rPr>
                <w:rFonts w:ascii="宋体" w:eastAsia="宋体" w:hAnsi="宋体" w:cs="宋体"/>
                <w:color w:val="2E3336"/>
                <w:kern w:val="0"/>
                <w:sz w:val="18"/>
                <w:szCs w:val="18"/>
              </w:rPr>
            </w:pPr>
          </w:p>
        </w:tc>
      </w:tr>
    </w:tbl>
    <w:p w:rsidR="005E2760" w:rsidRDefault="005E2760"/>
    <w:sectPr w:rsidR="005E2760" w:rsidSect="005E27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7489"/>
    <w:rsid w:val="005E2760"/>
    <w:rsid w:val="00E674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7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7489"/>
    <w:pPr>
      <w:widowControl/>
      <w:spacing w:before="100" w:beforeAutospacing="1" w:after="100" w:afterAutospacing="1"/>
      <w:jc w:val="left"/>
    </w:pPr>
    <w:rPr>
      <w:rFonts w:ascii="宋体" w:eastAsia="宋体" w:hAnsi="宋体" w:cs="宋体"/>
      <w:kern w:val="0"/>
      <w:sz w:val="24"/>
      <w:szCs w:val="24"/>
    </w:rPr>
  </w:style>
  <w:style w:type="character" w:customStyle="1" w:styleId="style11">
    <w:name w:val="style11"/>
    <w:basedOn w:val="a0"/>
    <w:rsid w:val="00E67489"/>
    <w:rPr>
      <w:color w:val="999999"/>
    </w:rPr>
  </w:style>
  <w:style w:type="character" w:styleId="a4">
    <w:name w:val="Strong"/>
    <w:basedOn w:val="a0"/>
    <w:uiPriority w:val="22"/>
    <w:qFormat/>
    <w:rsid w:val="00E67489"/>
    <w:rPr>
      <w:b/>
      <w:bCs/>
    </w:rPr>
  </w:style>
  <w:style w:type="paragraph" w:styleId="a5">
    <w:name w:val="Balloon Text"/>
    <w:basedOn w:val="a"/>
    <w:link w:val="Char"/>
    <w:uiPriority w:val="99"/>
    <w:semiHidden/>
    <w:unhideWhenUsed/>
    <w:rsid w:val="00E67489"/>
    <w:rPr>
      <w:sz w:val="18"/>
      <w:szCs w:val="18"/>
    </w:rPr>
  </w:style>
  <w:style w:type="character" w:customStyle="1" w:styleId="Char">
    <w:name w:val="批注框文本 Char"/>
    <w:basedOn w:val="a0"/>
    <w:link w:val="a5"/>
    <w:uiPriority w:val="99"/>
    <w:semiHidden/>
    <w:rsid w:val="00E67489"/>
    <w:rPr>
      <w:sz w:val="18"/>
      <w:szCs w:val="18"/>
    </w:rPr>
  </w:style>
</w:styles>
</file>

<file path=word/webSettings.xml><?xml version="1.0" encoding="utf-8"?>
<w:webSettings xmlns:r="http://schemas.openxmlformats.org/officeDocument/2006/relationships" xmlns:w="http://schemas.openxmlformats.org/wordprocessingml/2006/main">
  <w:divs>
    <w:div w:id="795949578">
      <w:bodyDiv w:val="1"/>
      <w:marLeft w:val="0"/>
      <w:marRight w:val="0"/>
      <w:marTop w:val="0"/>
      <w:marBottom w:val="0"/>
      <w:divBdr>
        <w:top w:val="none" w:sz="0" w:space="0" w:color="auto"/>
        <w:left w:val="none" w:sz="0" w:space="0" w:color="auto"/>
        <w:bottom w:val="none" w:sz="0" w:space="0" w:color="auto"/>
        <w:right w:val="none" w:sz="0" w:space="0" w:color="auto"/>
      </w:divBdr>
      <w:divsChild>
        <w:div w:id="1394236141">
          <w:marLeft w:val="0"/>
          <w:marRight w:val="0"/>
          <w:marTop w:val="0"/>
          <w:marBottom w:val="0"/>
          <w:divBdr>
            <w:top w:val="none" w:sz="0" w:space="0" w:color="auto"/>
            <w:left w:val="none" w:sz="0" w:space="0" w:color="auto"/>
            <w:bottom w:val="none" w:sz="0" w:space="0" w:color="auto"/>
            <w:right w:val="none" w:sz="0" w:space="0" w:color="auto"/>
          </w:divBdr>
          <w:divsChild>
            <w:div w:id="11039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828</Words>
  <Characters>4720</Characters>
  <Application>Microsoft Office Word</Application>
  <DocSecurity>0</DocSecurity>
  <Lines>39</Lines>
  <Paragraphs>11</Paragraphs>
  <ScaleCrop>false</ScaleCrop>
  <Company>微软中国</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2014-06-27T02:37:00Z</dcterms:created>
  <dcterms:modified xsi:type="dcterms:W3CDTF">2014-06-27T02:38:00Z</dcterms:modified>
</cp:coreProperties>
</file>